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8CE1" w14:textId="77777777" w:rsidR="00E11EAD" w:rsidRPr="00E11EAD" w:rsidRDefault="00E11EAD" w:rsidP="00E11EAD">
      <w:pPr>
        <w:spacing w:after="0" w:line="256" w:lineRule="auto"/>
        <w:contextualSpacing/>
        <w:jc w:val="center"/>
        <w:rPr>
          <w:rFonts w:eastAsia="Times New Roman" w:cstheme="minorHAnsi"/>
          <w:b/>
          <w:sz w:val="24"/>
          <w:szCs w:val="24"/>
          <w:lang w:eastAsia="pl-PL"/>
        </w:rPr>
      </w:pPr>
      <w:r w:rsidRPr="00E11EAD">
        <w:rPr>
          <w:rFonts w:eastAsia="Times New Roman" w:cstheme="minorHAnsi"/>
          <w:b/>
          <w:sz w:val="24"/>
          <w:szCs w:val="24"/>
          <w:lang w:eastAsia="pl-PL"/>
        </w:rPr>
        <w:t>Klauzula informacyjna dot. przetwarzania danych osobowych na podstawie obowiązku prawnego ciążącego na administratorze zgodnie z art. 13 ogólnego rozporządzenia o ochronie danych osobowych z dnia 27 kwietnia 2016 r. (Dz. Urz. UE L 119 z 04.05.2016)</w:t>
      </w:r>
    </w:p>
    <w:tbl>
      <w:tblPr>
        <w:tblStyle w:val="Tabela-Siatka"/>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7"/>
        <w:gridCol w:w="7092"/>
      </w:tblGrid>
      <w:tr w:rsidR="00E11EAD" w:rsidRPr="00E11EAD" w14:paraId="11B712DA" w14:textId="77777777" w:rsidTr="001F223B">
        <w:tc>
          <w:tcPr>
            <w:tcW w:w="2107" w:type="dxa"/>
          </w:tcPr>
          <w:p w14:paraId="1D4C7738" w14:textId="77777777" w:rsidR="00E11EAD" w:rsidRPr="00E11EAD" w:rsidRDefault="00E11EAD" w:rsidP="00E11EAD">
            <w:pPr>
              <w:spacing w:before="120" w:after="120"/>
              <w:jc w:val="both"/>
              <w:rPr>
                <w:rFonts w:eastAsia="Times New Roman" w:cstheme="minorHAnsi"/>
                <w:b/>
                <w:lang w:eastAsia="pl-PL"/>
              </w:rPr>
            </w:pPr>
            <w:r w:rsidRPr="00E11EAD">
              <w:rPr>
                <w:rFonts w:eastAsia="Times New Roman" w:cstheme="minorHAnsi"/>
                <w:b/>
                <w:lang w:eastAsia="pl-PL"/>
              </w:rPr>
              <w:t>Administrator, dane kontaktowe</w:t>
            </w:r>
          </w:p>
        </w:tc>
        <w:tc>
          <w:tcPr>
            <w:tcW w:w="7092" w:type="dxa"/>
          </w:tcPr>
          <w:p w14:paraId="1986681A"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Starostwo Powiatowe w Nowej Soli, ul. Moniuszki 3, 67-100 Nowa Sól.</w:t>
            </w:r>
          </w:p>
          <w:p w14:paraId="54546F3B"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Kontakt:</w:t>
            </w:r>
          </w:p>
          <w:p w14:paraId="463C16B4"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osobiście lub na adres poczty elektronicznej: </w:t>
            </w:r>
            <w:hyperlink r:id="rId7" w:history="1">
              <w:r w:rsidRPr="00E11EAD">
                <w:rPr>
                  <w:rFonts w:cstheme="minorHAnsi"/>
                  <w:sz w:val="20"/>
                  <w:szCs w:val="20"/>
                  <w:shd w:val="clear" w:color="auto" w:fill="FFFFFF"/>
                </w:rPr>
                <w:t>poczta@powiat-nowosolski.pl</w:t>
              </w:r>
            </w:hyperlink>
          </w:p>
          <w:p w14:paraId="0A3FE34A"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telefonicznie: </w:t>
            </w:r>
            <w:r w:rsidRPr="00E11EAD">
              <w:rPr>
                <w:rFonts w:eastAsia="Times New Roman" w:cstheme="minorHAnsi"/>
                <w:sz w:val="20"/>
                <w:szCs w:val="20"/>
                <w:lang w:eastAsia="pl-PL"/>
              </w:rPr>
              <w:t>68 458 68 00</w:t>
            </w:r>
          </w:p>
          <w:p w14:paraId="4FFF56F0"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pisemnie: </w:t>
            </w:r>
            <w:r w:rsidRPr="00E11EAD">
              <w:rPr>
                <w:rFonts w:eastAsia="Times New Roman" w:cstheme="minorHAnsi"/>
                <w:sz w:val="20"/>
                <w:szCs w:val="20"/>
                <w:lang w:eastAsia="pl-PL"/>
              </w:rPr>
              <w:t>Starostwo Powiatowe w Nowej Soli, ul. Moniuszki 3, 67-100 Nowa Sól.</w:t>
            </w:r>
          </w:p>
        </w:tc>
      </w:tr>
      <w:tr w:rsidR="00E11EAD" w:rsidRPr="00E11EAD" w14:paraId="1C3E4C3C" w14:textId="77777777" w:rsidTr="001F223B">
        <w:tc>
          <w:tcPr>
            <w:tcW w:w="2107" w:type="dxa"/>
          </w:tcPr>
          <w:p w14:paraId="375AEA9F" w14:textId="77777777" w:rsidR="00E11EAD" w:rsidRPr="00E11EAD" w:rsidRDefault="00E11EAD" w:rsidP="00E11EAD">
            <w:pPr>
              <w:spacing w:before="120" w:after="120"/>
              <w:jc w:val="both"/>
              <w:rPr>
                <w:rFonts w:eastAsia="Times New Roman" w:cstheme="minorHAnsi"/>
                <w:b/>
                <w:lang w:eastAsia="pl-PL"/>
              </w:rPr>
            </w:pPr>
            <w:r w:rsidRPr="00E11EAD">
              <w:rPr>
                <w:rFonts w:eastAsia="Times New Roman" w:cstheme="minorHAnsi"/>
                <w:b/>
                <w:lang w:eastAsia="pl-PL"/>
              </w:rPr>
              <w:t>Inspektor Ochrony Danych</w:t>
            </w:r>
          </w:p>
        </w:tc>
        <w:tc>
          <w:tcPr>
            <w:tcW w:w="7092" w:type="dxa"/>
          </w:tcPr>
          <w:p w14:paraId="35E79CCB" w14:textId="77777777" w:rsidR="00E11EAD" w:rsidRPr="00E11EAD" w:rsidRDefault="00E11EAD" w:rsidP="00167BF6">
            <w:pPr>
              <w:jc w:val="both"/>
              <w:rPr>
                <w:rFonts w:eastAsia="Times New Roman" w:cstheme="minorHAnsi"/>
                <w:color w:val="000000"/>
                <w:sz w:val="20"/>
                <w:szCs w:val="20"/>
                <w:lang w:eastAsia="pl-PL"/>
              </w:rPr>
            </w:pPr>
            <w:r w:rsidRPr="00E11EAD">
              <w:rPr>
                <w:rFonts w:eastAsia="Times New Roman" w:cstheme="minorHAnsi"/>
                <w:color w:val="000000"/>
                <w:sz w:val="20"/>
                <w:szCs w:val="20"/>
                <w:lang w:eastAsia="pl-PL"/>
              </w:rPr>
              <w:t>W Starostwie Powiatowym w Nowej Soli został wyznaczony Inspektor Ochrony Danych, z którym można się skontaktować:</w:t>
            </w:r>
          </w:p>
          <w:p w14:paraId="1176F915" w14:textId="139BE63B" w:rsidR="00E11EAD" w:rsidRPr="00E11EAD" w:rsidRDefault="00E11EAD" w:rsidP="00167BF6">
            <w:pPr>
              <w:numPr>
                <w:ilvl w:val="0"/>
                <w:numId w:val="4"/>
              </w:numPr>
              <w:jc w:val="both"/>
              <w:rPr>
                <w:rFonts w:eastAsia="Times New Roman" w:cstheme="minorHAnsi"/>
                <w:color w:val="000000"/>
                <w:sz w:val="20"/>
                <w:szCs w:val="20"/>
                <w:lang w:eastAsia="pl-PL"/>
              </w:rPr>
            </w:pPr>
            <w:r w:rsidRPr="00D33C6A">
              <w:rPr>
                <w:rFonts w:eastAsia="Times New Roman" w:cstheme="minorHAnsi"/>
                <w:color w:val="000000"/>
                <w:sz w:val="20"/>
                <w:szCs w:val="20"/>
                <w:u w:val="single"/>
                <w:lang w:eastAsia="pl-PL"/>
              </w:rPr>
              <w:t>za pomocą poczty elektronicznej:</w:t>
            </w:r>
            <w:r w:rsidRPr="00E11EAD">
              <w:rPr>
                <w:rFonts w:ascii="Times New Roman" w:eastAsia="Times New Roman" w:hAnsi="Times New Roman"/>
                <w:sz w:val="20"/>
                <w:szCs w:val="20"/>
                <w:lang w:eastAsia="pl-PL"/>
              </w:rPr>
              <w:t xml:space="preserve"> </w:t>
            </w:r>
            <w:r w:rsidR="008E42E0">
              <w:rPr>
                <w:rFonts w:ascii="Times New Roman" w:eastAsia="Times New Roman" w:hAnsi="Times New Roman"/>
                <w:sz w:val="20"/>
                <w:szCs w:val="20"/>
                <w:lang w:eastAsia="pl-PL"/>
              </w:rPr>
              <w:t>iod</w:t>
            </w:r>
            <w:r w:rsidRPr="00D33C6A">
              <w:rPr>
                <w:rFonts w:eastAsia="Times New Roman" w:cstheme="minorHAnsi"/>
                <w:sz w:val="20"/>
                <w:szCs w:val="20"/>
                <w:lang w:eastAsia="pl-PL"/>
              </w:rPr>
              <w:t>@powiat-nowosolski.pl</w:t>
            </w:r>
          </w:p>
        </w:tc>
      </w:tr>
      <w:tr w:rsidR="00E11EAD" w:rsidRPr="00E11EAD" w14:paraId="23C38F57" w14:textId="77777777" w:rsidTr="001F223B">
        <w:tc>
          <w:tcPr>
            <w:tcW w:w="2107" w:type="dxa"/>
          </w:tcPr>
          <w:p w14:paraId="1CFF56B7" w14:textId="77777777" w:rsidR="00E11EAD" w:rsidRPr="00E11EAD" w:rsidRDefault="00E11EAD" w:rsidP="00E11EAD">
            <w:pPr>
              <w:rPr>
                <w:rFonts w:eastAsia="Times New Roman" w:cstheme="minorHAnsi"/>
                <w:b/>
                <w:lang w:eastAsia="pl-PL"/>
              </w:rPr>
            </w:pPr>
            <w:r w:rsidRPr="00E11EAD">
              <w:rPr>
                <w:rFonts w:eastAsia="Times New Roman" w:cstheme="minorHAnsi"/>
                <w:b/>
                <w:lang w:eastAsia="pl-PL"/>
              </w:rPr>
              <w:t>Cele przetwarzania, czas przechowywania poszczególnych kategorii danych, podanie danych</w:t>
            </w:r>
          </w:p>
        </w:tc>
        <w:tc>
          <w:tcPr>
            <w:tcW w:w="7092" w:type="dxa"/>
            <w:shd w:val="clear" w:color="auto" w:fill="FFFFFF" w:themeFill="background1"/>
          </w:tcPr>
          <w:p w14:paraId="0AAE77CF" w14:textId="432F69E9" w:rsidR="004E2C27" w:rsidRDefault="00E11EAD" w:rsidP="00167BF6">
            <w:pPr>
              <w:spacing w:after="120"/>
              <w:jc w:val="both"/>
              <w:rPr>
                <w:rFonts w:eastAsia="Times New Roman" w:cstheme="minorHAnsi"/>
                <w:sz w:val="20"/>
                <w:szCs w:val="20"/>
                <w:lang w:eastAsia="pl-PL"/>
              </w:rPr>
            </w:pPr>
            <w:r w:rsidRPr="00E11EAD">
              <w:rPr>
                <w:rFonts w:eastAsia="Times New Roman" w:cstheme="minorHAnsi"/>
                <w:sz w:val="20"/>
                <w:szCs w:val="20"/>
                <w:lang w:eastAsia="pl-PL"/>
              </w:rPr>
              <w:t>Dane będą przetwarzane</w:t>
            </w:r>
            <w:r w:rsidR="00E55EAF">
              <w:rPr>
                <w:rFonts w:eastAsia="Times New Roman" w:cstheme="minorHAnsi"/>
                <w:sz w:val="20"/>
                <w:szCs w:val="20"/>
                <w:lang w:eastAsia="pl-PL"/>
              </w:rPr>
              <w:t xml:space="preserve"> przez</w:t>
            </w:r>
            <w:r w:rsidRPr="00E11EAD">
              <w:rPr>
                <w:rFonts w:eastAsia="Times New Roman" w:cstheme="minorHAnsi"/>
                <w:sz w:val="20"/>
                <w:szCs w:val="20"/>
                <w:lang w:eastAsia="pl-PL"/>
              </w:rPr>
              <w:t xml:space="preserve"> Starostwo Powiatowe w Nowej Soli </w:t>
            </w:r>
            <w:r w:rsidR="00A832C4" w:rsidRPr="00D33C6A">
              <w:rPr>
                <w:rFonts w:eastAsia="Times New Roman" w:cstheme="minorHAnsi"/>
                <w:sz w:val="20"/>
                <w:szCs w:val="20"/>
                <w:lang w:eastAsia="pl-PL"/>
              </w:rPr>
              <w:t xml:space="preserve">w celu </w:t>
            </w:r>
            <w:r w:rsidR="004E2C27">
              <w:rPr>
                <w:rFonts w:eastAsia="Times New Roman" w:cstheme="minorHAnsi"/>
                <w:sz w:val="20"/>
                <w:szCs w:val="20"/>
                <w:lang w:eastAsia="pl-PL"/>
              </w:rPr>
              <w:t xml:space="preserve">wydania </w:t>
            </w:r>
            <w:r w:rsidR="00E55EAF">
              <w:rPr>
                <w:rFonts w:eastAsia="Times New Roman" w:cstheme="minorHAnsi"/>
                <w:sz w:val="20"/>
                <w:szCs w:val="20"/>
                <w:lang w:eastAsia="pl-PL"/>
              </w:rPr>
              <w:t xml:space="preserve">decyzji o </w:t>
            </w:r>
            <w:r w:rsidR="00B86F7B">
              <w:rPr>
                <w:rFonts w:eastAsia="Times New Roman" w:cstheme="minorHAnsi"/>
                <w:sz w:val="20"/>
                <w:szCs w:val="20"/>
                <w:lang w:eastAsia="pl-PL"/>
              </w:rPr>
              <w:t>wykreśleniu z</w:t>
            </w:r>
            <w:r w:rsidR="00E55EAF">
              <w:rPr>
                <w:rFonts w:eastAsia="Times New Roman" w:cstheme="minorHAnsi"/>
                <w:sz w:val="20"/>
                <w:szCs w:val="20"/>
                <w:lang w:eastAsia="pl-PL"/>
              </w:rPr>
              <w:t xml:space="preserve"> </w:t>
            </w:r>
            <w:r w:rsidR="00E55EAF" w:rsidRPr="00E55EAF">
              <w:rPr>
                <w:rFonts w:ascii="Calibri" w:eastAsia="Times New Roman" w:hAnsi="Calibri" w:cs="Calibri"/>
                <w:sz w:val="20"/>
                <w:szCs w:val="20"/>
                <w:lang w:eastAsia="pl-PL"/>
              </w:rPr>
              <w:t>ewidencji uczniowskich klubów sportowych/ klubów sportowych działających</w:t>
            </w:r>
            <w:r w:rsidR="00E55EAF" w:rsidRPr="00E55EAF">
              <w:rPr>
                <w:rFonts w:ascii="Calibri" w:hAnsi="Calibri" w:cs="Calibri"/>
                <w:szCs w:val="20"/>
              </w:rPr>
              <w:t xml:space="preserve"> </w:t>
            </w:r>
            <w:r w:rsidR="00E55EAF" w:rsidRPr="00E55EAF">
              <w:rPr>
                <w:rFonts w:ascii="Calibri" w:eastAsia="Times New Roman" w:hAnsi="Calibri" w:cs="Calibri"/>
                <w:sz w:val="20"/>
                <w:szCs w:val="20"/>
                <w:lang w:eastAsia="pl-PL"/>
              </w:rPr>
              <w:t>w formie stowarzyszenia, których statuty nie przewidują prowadzenia działalności gospodarczej</w:t>
            </w:r>
            <w:r w:rsidR="00E55EAF">
              <w:rPr>
                <w:rFonts w:eastAsia="Times New Roman" w:cstheme="minorHAnsi"/>
                <w:sz w:val="20"/>
                <w:szCs w:val="20"/>
                <w:lang w:eastAsia="pl-PL"/>
              </w:rPr>
              <w:t xml:space="preserve"> </w:t>
            </w:r>
          </w:p>
          <w:p w14:paraId="6237050E" w14:textId="661AA3B7" w:rsidR="00F13A82" w:rsidRPr="00D33C6A" w:rsidRDefault="00A832C4" w:rsidP="00167BF6">
            <w:pPr>
              <w:spacing w:after="120"/>
              <w:jc w:val="both"/>
              <w:rPr>
                <w:rFonts w:eastAsia="Times New Roman" w:cstheme="minorHAnsi"/>
                <w:sz w:val="20"/>
                <w:szCs w:val="20"/>
                <w:lang w:eastAsia="pl-PL"/>
              </w:rPr>
            </w:pPr>
            <w:r w:rsidRPr="00D33C6A">
              <w:rPr>
                <w:rFonts w:eastAsia="Times New Roman" w:cstheme="minorHAnsi"/>
                <w:sz w:val="20"/>
                <w:szCs w:val="20"/>
                <w:lang w:eastAsia="pl-PL"/>
              </w:rPr>
              <w:t>Podstawę do przetwarzania danych stanowi art. 6 ust. 1 lit. c rozporządzenia Parlamentu Europejskiego i Rady (UE) 2019/679, a także zadań wynikających z ustawy z dnia 7 kwietnia 1989 r.</w:t>
            </w:r>
            <w:r w:rsidR="00D96F7E" w:rsidRPr="00D33C6A">
              <w:rPr>
                <w:rFonts w:eastAsia="Times New Roman" w:cstheme="minorHAnsi"/>
                <w:sz w:val="20"/>
                <w:szCs w:val="20"/>
                <w:lang w:eastAsia="pl-PL"/>
              </w:rPr>
              <w:t xml:space="preserve"> – Prawo o stowarzyszeniach (tekst jednolity Dz. U. z 20</w:t>
            </w:r>
            <w:r w:rsidR="00903A50">
              <w:rPr>
                <w:rFonts w:eastAsia="Times New Roman" w:cstheme="minorHAnsi"/>
                <w:sz w:val="20"/>
                <w:szCs w:val="20"/>
                <w:lang w:eastAsia="pl-PL"/>
              </w:rPr>
              <w:t>20</w:t>
            </w:r>
            <w:r w:rsidR="00D96F7E" w:rsidRPr="00D33C6A">
              <w:rPr>
                <w:rFonts w:eastAsia="Times New Roman" w:cstheme="minorHAnsi"/>
                <w:sz w:val="20"/>
                <w:szCs w:val="20"/>
                <w:lang w:eastAsia="pl-PL"/>
              </w:rPr>
              <w:t xml:space="preserve"> r., poz. </w:t>
            </w:r>
            <w:r w:rsidR="00903A50">
              <w:rPr>
                <w:rFonts w:eastAsia="Times New Roman" w:cstheme="minorHAnsi"/>
                <w:sz w:val="20"/>
                <w:szCs w:val="20"/>
                <w:lang w:eastAsia="pl-PL"/>
              </w:rPr>
              <w:t>2261</w:t>
            </w:r>
            <w:r w:rsidR="00D96F7E" w:rsidRPr="00D33C6A">
              <w:rPr>
                <w:rFonts w:eastAsia="Times New Roman" w:cstheme="minorHAnsi"/>
                <w:sz w:val="20"/>
                <w:szCs w:val="20"/>
                <w:lang w:eastAsia="pl-PL"/>
              </w:rPr>
              <w:t xml:space="preserve">). </w:t>
            </w:r>
          </w:p>
          <w:p w14:paraId="73C9E783" w14:textId="050870CD" w:rsidR="00E11EAD" w:rsidRPr="00E11EAD" w:rsidRDefault="00D96F7E" w:rsidP="00167BF6">
            <w:pPr>
              <w:jc w:val="both"/>
              <w:rPr>
                <w:rFonts w:eastAsia="Times New Roman" w:cstheme="minorHAnsi"/>
                <w:sz w:val="20"/>
                <w:szCs w:val="20"/>
                <w:lang w:eastAsia="pl-PL"/>
              </w:rPr>
            </w:pPr>
            <w:r w:rsidRPr="00D33C6A">
              <w:rPr>
                <w:rFonts w:eastAsia="Times New Roman" w:cstheme="minorHAnsi"/>
                <w:sz w:val="20"/>
                <w:szCs w:val="20"/>
                <w:lang w:eastAsia="pl-PL"/>
              </w:rPr>
              <w:t>Dane osobowe będą przetwarzane, w tym przechowywane zgodnie z rozporządzeniem Prezesa Rady Ministrów z dnia 18 stycznia 2011 r. w sprawie inst</w:t>
            </w:r>
            <w:r w:rsidR="00A82803" w:rsidRPr="00D33C6A">
              <w:rPr>
                <w:rFonts w:eastAsia="Times New Roman" w:cstheme="minorHAnsi"/>
                <w:sz w:val="20"/>
                <w:szCs w:val="20"/>
                <w:lang w:eastAsia="pl-PL"/>
              </w:rPr>
              <w:t>rukcji kancelaryjnej, jednolitych rzeczowych</w:t>
            </w:r>
            <w:r w:rsidRPr="00D33C6A">
              <w:rPr>
                <w:rFonts w:eastAsia="Times New Roman" w:cstheme="minorHAnsi"/>
                <w:sz w:val="20"/>
                <w:szCs w:val="20"/>
                <w:lang w:eastAsia="pl-PL"/>
              </w:rPr>
              <w:t xml:space="preserve"> wy</w:t>
            </w:r>
            <w:r w:rsidR="00A82803" w:rsidRPr="00D33C6A">
              <w:rPr>
                <w:rFonts w:eastAsia="Times New Roman" w:cstheme="minorHAnsi"/>
                <w:sz w:val="20"/>
                <w:szCs w:val="20"/>
                <w:lang w:eastAsia="pl-PL"/>
              </w:rPr>
              <w:t>kazów akt oraz instrukcji w sprawie organizacji i zakresu działania archiwów zakładowych (Dz.U. z 2011 r., nr 14, poz. 67) oraz przepisami ustawy z dnia 14 lipca 1983 r. o narodowym zasobie archiwalnym i archiwach</w:t>
            </w:r>
            <w:r w:rsidR="00F13A82" w:rsidRPr="00D33C6A">
              <w:rPr>
                <w:rFonts w:eastAsia="Times New Roman" w:cstheme="minorHAnsi"/>
                <w:sz w:val="20"/>
                <w:szCs w:val="20"/>
                <w:lang w:eastAsia="pl-PL"/>
              </w:rPr>
              <w:t xml:space="preserve"> (tekst jednolity Dz. U. z 20</w:t>
            </w:r>
            <w:r w:rsidR="00903A50">
              <w:rPr>
                <w:rFonts w:eastAsia="Times New Roman" w:cstheme="minorHAnsi"/>
                <w:sz w:val="20"/>
                <w:szCs w:val="20"/>
                <w:lang w:eastAsia="pl-PL"/>
              </w:rPr>
              <w:t>20</w:t>
            </w:r>
            <w:r w:rsidR="00F13A82" w:rsidRPr="00D33C6A">
              <w:rPr>
                <w:rFonts w:eastAsia="Times New Roman" w:cstheme="minorHAnsi"/>
                <w:sz w:val="20"/>
                <w:szCs w:val="20"/>
                <w:lang w:eastAsia="pl-PL"/>
              </w:rPr>
              <w:t xml:space="preserve"> r., poz. </w:t>
            </w:r>
            <w:r w:rsidR="00903A50">
              <w:rPr>
                <w:rFonts w:eastAsia="Times New Roman" w:cstheme="minorHAnsi"/>
                <w:sz w:val="20"/>
                <w:szCs w:val="20"/>
                <w:lang w:eastAsia="pl-PL"/>
              </w:rPr>
              <w:t>164</w:t>
            </w:r>
            <w:r w:rsidR="00F13A82" w:rsidRPr="00D33C6A">
              <w:rPr>
                <w:rFonts w:eastAsia="Times New Roman" w:cstheme="minorHAnsi"/>
                <w:sz w:val="20"/>
                <w:szCs w:val="20"/>
                <w:lang w:eastAsia="pl-PL"/>
              </w:rPr>
              <w:t xml:space="preserve"> z</w:t>
            </w:r>
            <w:r w:rsidR="00903A50">
              <w:rPr>
                <w:rFonts w:eastAsia="Times New Roman" w:cstheme="minorHAnsi"/>
                <w:sz w:val="20"/>
                <w:szCs w:val="20"/>
                <w:lang w:eastAsia="pl-PL"/>
              </w:rPr>
              <w:t xml:space="preserve"> </w:t>
            </w:r>
            <w:proofErr w:type="spellStart"/>
            <w:r w:rsidR="00903A50">
              <w:rPr>
                <w:rFonts w:eastAsia="Times New Roman" w:cstheme="minorHAnsi"/>
                <w:sz w:val="20"/>
                <w:szCs w:val="20"/>
                <w:lang w:eastAsia="pl-PL"/>
              </w:rPr>
              <w:t>późn</w:t>
            </w:r>
            <w:proofErr w:type="spellEnd"/>
            <w:r w:rsidR="00903A50">
              <w:rPr>
                <w:rFonts w:eastAsia="Times New Roman" w:cstheme="minorHAnsi"/>
                <w:sz w:val="20"/>
                <w:szCs w:val="20"/>
                <w:lang w:eastAsia="pl-PL"/>
              </w:rPr>
              <w:t xml:space="preserve">. </w:t>
            </w:r>
            <w:r w:rsidR="00F13A82" w:rsidRPr="00D33C6A">
              <w:rPr>
                <w:rFonts w:eastAsia="Times New Roman" w:cstheme="minorHAnsi"/>
                <w:sz w:val="20"/>
                <w:szCs w:val="20"/>
                <w:lang w:eastAsia="pl-PL"/>
              </w:rPr>
              <w:t xml:space="preserve"> zm.)</w:t>
            </w:r>
          </w:p>
        </w:tc>
      </w:tr>
      <w:tr w:rsidR="00E11EAD" w:rsidRPr="00E11EAD" w14:paraId="3CB7A45A" w14:textId="77777777" w:rsidTr="001F223B">
        <w:tc>
          <w:tcPr>
            <w:tcW w:w="2107" w:type="dxa"/>
          </w:tcPr>
          <w:p w14:paraId="205ED519" w14:textId="77777777" w:rsidR="00E11EAD" w:rsidRPr="00E11EAD" w:rsidRDefault="00E11EAD" w:rsidP="00E11EAD">
            <w:pPr>
              <w:spacing w:before="120" w:after="120" w:line="276" w:lineRule="auto"/>
              <w:jc w:val="both"/>
              <w:rPr>
                <w:rFonts w:eastAsia="Times New Roman" w:cstheme="minorHAnsi"/>
                <w:b/>
                <w:lang w:eastAsia="pl-PL"/>
              </w:rPr>
            </w:pPr>
            <w:r w:rsidRPr="00E11EAD">
              <w:rPr>
                <w:rFonts w:eastAsia="Times New Roman" w:cstheme="minorHAnsi"/>
                <w:b/>
                <w:lang w:eastAsia="pl-PL"/>
              </w:rPr>
              <w:t>Odbiorcy danych</w:t>
            </w:r>
          </w:p>
        </w:tc>
        <w:tc>
          <w:tcPr>
            <w:tcW w:w="7092" w:type="dxa"/>
          </w:tcPr>
          <w:p w14:paraId="7121E769" w14:textId="77777777" w:rsidR="00E11EAD" w:rsidRPr="00E11EAD" w:rsidRDefault="00E11EAD" w:rsidP="00167BF6">
            <w:pPr>
              <w:keepNext/>
              <w:keepLines/>
              <w:spacing w:after="120"/>
              <w:jc w:val="both"/>
              <w:outlineLvl w:val="1"/>
              <w:rPr>
                <w:rFonts w:eastAsia="Times New Roman" w:cstheme="minorHAnsi"/>
                <w:sz w:val="20"/>
                <w:szCs w:val="20"/>
                <w:highlight w:val="yellow"/>
                <w:lang w:eastAsia="pl-PL"/>
              </w:rPr>
            </w:pPr>
            <w:r w:rsidRPr="00E11EAD">
              <w:rPr>
                <w:rFonts w:eastAsia="Times New Roman" w:cstheme="minorHAnsi"/>
                <w:sz w:val="20"/>
                <w:szCs w:val="20"/>
                <w:lang w:eastAsia="pl-PL"/>
              </w:rPr>
              <w:t xml:space="preserve">Dane osobowe  </w:t>
            </w:r>
            <w:r w:rsidR="00F13A82" w:rsidRPr="00D33C6A">
              <w:rPr>
                <w:rFonts w:eastAsia="Times New Roman" w:cstheme="minorHAnsi"/>
                <w:sz w:val="20"/>
                <w:szCs w:val="20"/>
                <w:lang w:eastAsia="pl-PL"/>
              </w:rPr>
              <w:t xml:space="preserve">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Dane osobowe mogą być również </w:t>
            </w:r>
            <w:r w:rsidR="00D33C6A" w:rsidRPr="00D33C6A">
              <w:rPr>
                <w:rFonts w:eastAsia="Times New Roman" w:cstheme="minorHAnsi"/>
                <w:sz w:val="20"/>
                <w:szCs w:val="20"/>
                <w:lang w:eastAsia="pl-PL"/>
              </w:rPr>
              <w:t>przekazywane do państw trzecich, na podstawie szczególnych regulacji prawnych, w tym umów międzynarodowych.</w:t>
            </w:r>
          </w:p>
        </w:tc>
      </w:tr>
      <w:tr w:rsidR="00E11EAD" w:rsidRPr="00E11EAD" w14:paraId="551F0423" w14:textId="77777777" w:rsidTr="001F223B">
        <w:tc>
          <w:tcPr>
            <w:tcW w:w="2107" w:type="dxa"/>
          </w:tcPr>
          <w:p w14:paraId="6C28D840" w14:textId="77777777" w:rsidR="00E11EAD" w:rsidRPr="00E11EAD" w:rsidRDefault="00E11EAD" w:rsidP="00E11EAD">
            <w:pPr>
              <w:spacing w:before="120" w:after="120"/>
              <w:rPr>
                <w:rFonts w:eastAsia="Times New Roman" w:cstheme="minorHAnsi"/>
                <w:b/>
                <w:lang w:eastAsia="pl-PL"/>
              </w:rPr>
            </w:pPr>
            <w:r w:rsidRPr="00E11EAD">
              <w:rPr>
                <w:rFonts w:eastAsia="Times New Roman" w:cstheme="minorHAnsi"/>
                <w:b/>
                <w:lang w:eastAsia="pl-PL"/>
              </w:rPr>
              <w:t>Prawa osoby, której dane dotyczą</w:t>
            </w:r>
          </w:p>
        </w:tc>
        <w:tc>
          <w:tcPr>
            <w:tcW w:w="7092" w:type="dxa"/>
          </w:tcPr>
          <w:p w14:paraId="75FCFAFE"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Osoby, których dane osobowe przetwarza Starostwo Powiatowe w Nowej Soli mają prawo do:</w:t>
            </w:r>
          </w:p>
          <w:p w14:paraId="0535EA46"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dostępu</w:t>
            </w:r>
            <w:r w:rsidRPr="00E11EAD">
              <w:rPr>
                <w:rFonts w:eastAsia="Times New Roman" w:cstheme="minorHAnsi"/>
                <w:sz w:val="20"/>
                <w:szCs w:val="20"/>
                <w:lang w:eastAsia="pl-PL"/>
              </w:rPr>
              <w:t xml:space="preserve"> do swoich danych osobowych</w:t>
            </w:r>
          </w:p>
          <w:p w14:paraId="0069269F"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sprostowania danych</w:t>
            </w:r>
            <w:r w:rsidRPr="00E11EAD">
              <w:rPr>
                <w:rFonts w:eastAsia="Times New Roman" w:cstheme="minorHAnsi"/>
                <w:sz w:val="20"/>
                <w:szCs w:val="20"/>
                <w:lang w:eastAsia="pl-PL"/>
              </w:rPr>
              <w:t>, które są nieprawidłowe</w:t>
            </w:r>
          </w:p>
          <w:p w14:paraId="5CFB5529"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usunięcia danych</w:t>
            </w:r>
            <w:r w:rsidRPr="00E11EAD">
              <w:rPr>
                <w:rFonts w:eastAsia="Times New Roman" w:cstheme="minorHAnsi"/>
                <w:sz w:val="20"/>
                <w:szCs w:val="20"/>
                <w:lang w:eastAsia="pl-PL"/>
              </w:rPr>
              <w:t>, gdy dane nie są niezbędne do celów, dla których zostały zebrane lub po wniesieniu sprzeciwu wobec przetwarzania danych, gdy dane są przetwarzane niezgodnie z prawem.</w:t>
            </w:r>
          </w:p>
          <w:p w14:paraId="30FEF6F7"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ograniczenia przetwarzania danych</w:t>
            </w:r>
            <w:r w:rsidRPr="00E11EAD">
              <w:rPr>
                <w:rFonts w:eastAsia="Times New Roman" w:cstheme="minorHAnsi"/>
                <w:sz w:val="20"/>
                <w:szCs w:val="20"/>
                <w:lang w:eastAsia="pl-PL"/>
              </w:rPr>
              <w:t>, gdy osoby te kwestionują prawidłowość danych, przetwarzanie jest niezgodne z prawem, a osoby te sprzeciwiają się usunięciu danych, Starostwo Powiatowe w Nowej Soli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40552744"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wniesienia sprzeciwu wobec przetwarzania danych</w:t>
            </w:r>
            <w:r w:rsidRPr="00E11EAD">
              <w:rPr>
                <w:rFonts w:eastAsia="Times New Roman" w:cstheme="minorHAnsi"/>
                <w:sz w:val="20"/>
                <w:szCs w:val="20"/>
                <w:lang w:eastAsia="pl-PL"/>
              </w:rPr>
              <w:t xml:space="preserve"> – z przyczyn związanych ze szczególną sytuacją osób, których dane są przetwarzane;</w:t>
            </w:r>
          </w:p>
          <w:p w14:paraId="1DD024C3"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 xml:space="preserve">wniesienia skargi </w:t>
            </w:r>
            <w:r w:rsidRPr="00E11EAD">
              <w:rPr>
                <w:rFonts w:eastAsia="Times New Roman" w:cstheme="minorHAnsi"/>
                <w:sz w:val="20"/>
                <w:szCs w:val="20"/>
                <w:lang w:eastAsia="pl-PL"/>
              </w:rPr>
              <w:t>do Prezesa Urzędu Ochrony Danych Osobowych.</w:t>
            </w:r>
          </w:p>
        </w:tc>
      </w:tr>
    </w:tbl>
    <w:p w14:paraId="21EE8E81" w14:textId="77777777" w:rsidR="00182045" w:rsidRDefault="00182045"/>
    <w:sectPr w:rsidR="00182045" w:rsidSect="003C1281">
      <w:headerReference w:type="default" r:id="rId8"/>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DC48" w14:textId="77777777" w:rsidR="00216480" w:rsidRDefault="00216480">
      <w:pPr>
        <w:spacing w:after="0" w:line="240" w:lineRule="auto"/>
      </w:pPr>
      <w:r>
        <w:separator/>
      </w:r>
    </w:p>
  </w:endnote>
  <w:endnote w:type="continuationSeparator" w:id="0">
    <w:p w14:paraId="33AA6628" w14:textId="77777777" w:rsidR="00216480" w:rsidRDefault="0021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1B08" w14:textId="77777777" w:rsidR="00216480" w:rsidRDefault="00216480">
      <w:pPr>
        <w:spacing w:after="0" w:line="240" w:lineRule="auto"/>
      </w:pPr>
      <w:r>
        <w:separator/>
      </w:r>
    </w:p>
  </w:footnote>
  <w:footnote w:type="continuationSeparator" w:id="0">
    <w:p w14:paraId="67792B91" w14:textId="77777777" w:rsidR="00216480" w:rsidRDefault="0021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9043" w14:textId="77777777" w:rsidR="00633B99" w:rsidRPr="00676CFA" w:rsidRDefault="00425AB9" w:rsidP="00633B99">
    <w:pPr>
      <w:rPr>
        <w:rFonts w:cs="Calibri"/>
        <w:b/>
        <w:sz w:val="32"/>
        <w:szCs w:val="32"/>
      </w:rPr>
    </w:pPr>
    <w:r>
      <w:rPr>
        <w:rFonts w:cs="Calibri"/>
        <w:b/>
        <w:noProof/>
        <w:sz w:val="32"/>
        <w:szCs w:val="32"/>
      </w:rPr>
      <w:t xml:space="preserve">Starostwo Powiatowe w Nowej Soli </w:t>
    </w:r>
  </w:p>
  <w:tbl>
    <w:tblPr>
      <w:tblW w:w="0" w:type="auto"/>
      <w:tblBorders>
        <w:bottom w:val="single" w:sz="4" w:space="0" w:color="000000"/>
        <w:insideH w:val="single" w:sz="4" w:space="0" w:color="000000"/>
      </w:tblBorders>
      <w:tblLook w:val="04A0" w:firstRow="1" w:lastRow="0" w:firstColumn="1" w:lastColumn="0" w:noHBand="0" w:noVBand="1"/>
    </w:tblPr>
    <w:tblGrid>
      <w:gridCol w:w="5164"/>
      <w:gridCol w:w="1954"/>
      <w:gridCol w:w="1954"/>
    </w:tblGrid>
    <w:tr w:rsidR="00633B99" w:rsidRPr="00676CFA" w14:paraId="401F788E" w14:textId="77777777" w:rsidTr="00286622">
      <w:tc>
        <w:tcPr>
          <w:tcW w:w="5164" w:type="dxa"/>
          <w:tcBorders>
            <w:top w:val="nil"/>
            <w:left w:val="nil"/>
            <w:bottom w:val="single" w:sz="4" w:space="0" w:color="000000"/>
            <w:right w:val="nil"/>
          </w:tcBorders>
        </w:tcPr>
        <w:p w14:paraId="1E99256C" w14:textId="77777777" w:rsidR="00633B99" w:rsidRPr="00676CFA" w:rsidRDefault="00216480" w:rsidP="00633B99">
          <w:pPr>
            <w:tabs>
              <w:tab w:val="center" w:pos="4536"/>
              <w:tab w:val="right" w:pos="9072"/>
            </w:tabs>
            <w:suppressAutoHyphens/>
            <w:rPr>
              <w:rFonts w:eastAsia="Times New Roman" w:cs="Calibri"/>
              <w:b/>
              <w:kern w:val="1"/>
              <w:lang w:eastAsia="ar-SA"/>
            </w:rPr>
          </w:pPr>
        </w:p>
      </w:tc>
      <w:tc>
        <w:tcPr>
          <w:tcW w:w="1954" w:type="dxa"/>
          <w:tcBorders>
            <w:top w:val="nil"/>
            <w:left w:val="nil"/>
            <w:bottom w:val="single" w:sz="4" w:space="0" w:color="000000"/>
            <w:right w:val="nil"/>
          </w:tcBorders>
        </w:tcPr>
        <w:p w14:paraId="743D53DB" w14:textId="77777777" w:rsidR="00633B99" w:rsidRPr="00676CFA" w:rsidRDefault="00216480" w:rsidP="00633B99">
          <w:pPr>
            <w:tabs>
              <w:tab w:val="center" w:pos="4536"/>
              <w:tab w:val="right" w:pos="9072"/>
            </w:tabs>
            <w:suppressAutoHyphens/>
            <w:jc w:val="right"/>
            <w:rPr>
              <w:rFonts w:eastAsia="Times New Roman" w:cs="Calibri"/>
              <w:kern w:val="1"/>
              <w:lang w:eastAsia="ar-SA"/>
            </w:rPr>
          </w:pPr>
        </w:p>
      </w:tc>
      <w:tc>
        <w:tcPr>
          <w:tcW w:w="1954" w:type="dxa"/>
          <w:tcBorders>
            <w:top w:val="nil"/>
            <w:left w:val="nil"/>
            <w:bottom w:val="single" w:sz="4" w:space="0" w:color="000000"/>
            <w:right w:val="nil"/>
          </w:tcBorders>
        </w:tcPr>
        <w:p w14:paraId="6FC6FE87" w14:textId="77777777" w:rsidR="00633B99" w:rsidRPr="00676CFA" w:rsidRDefault="00216480" w:rsidP="00633B99">
          <w:pPr>
            <w:tabs>
              <w:tab w:val="center" w:pos="4536"/>
              <w:tab w:val="right" w:pos="9072"/>
            </w:tabs>
            <w:suppressAutoHyphens/>
            <w:jc w:val="right"/>
            <w:rPr>
              <w:rFonts w:eastAsia="Times New Roman" w:cs="Calibri"/>
              <w:kern w:val="1"/>
              <w:lang w:eastAsia="ar-SA"/>
            </w:rPr>
          </w:pPr>
        </w:p>
      </w:tc>
    </w:tr>
  </w:tbl>
  <w:p w14:paraId="1260AEA3" w14:textId="77777777" w:rsidR="00633B99" w:rsidRDefault="002164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DB16E5"/>
    <w:multiLevelType w:val="hybridMultilevel"/>
    <w:tmpl w:val="2AFC90FA"/>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E14DD6"/>
    <w:multiLevelType w:val="hybridMultilevel"/>
    <w:tmpl w:val="8638B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AD"/>
    <w:rsid w:val="00082736"/>
    <w:rsid w:val="00167BF6"/>
    <w:rsid w:val="00182045"/>
    <w:rsid w:val="001E4A98"/>
    <w:rsid w:val="00203DE0"/>
    <w:rsid w:val="00216480"/>
    <w:rsid w:val="002472B0"/>
    <w:rsid w:val="002F428E"/>
    <w:rsid w:val="003C1281"/>
    <w:rsid w:val="003E5A81"/>
    <w:rsid w:val="00425AB9"/>
    <w:rsid w:val="004E2C27"/>
    <w:rsid w:val="005F7433"/>
    <w:rsid w:val="008809FF"/>
    <w:rsid w:val="008E42E0"/>
    <w:rsid w:val="00903A50"/>
    <w:rsid w:val="00A82803"/>
    <w:rsid w:val="00A832C4"/>
    <w:rsid w:val="00B86F7B"/>
    <w:rsid w:val="00D33C6A"/>
    <w:rsid w:val="00D96F7E"/>
    <w:rsid w:val="00E11EAD"/>
    <w:rsid w:val="00E55EAF"/>
    <w:rsid w:val="00F13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668C"/>
  <w15:chartTrackingRefBased/>
  <w15:docId w15:val="{1F670DBC-5315-456E-B6A5-5BF9222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11E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1EAD"/>
  </w:style>
  <w:style w:type="table" w:styleId="Tabela-Siatka">
    <w:name w:val="Table Grid"/>
    <w:basedOn w:val="Standardowy"/>
    <w:uiPriority w:val="39"/>
    <w:rsid w:val="00E1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67B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czta@powiat-nowosol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491</Words>
  <Characters>2952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Małecki</dc:creator>
  <cp:keywords/>
  <dc:description/>
  <cp:lastModifiedBy>Renata Giertych</cp:lastModifiedBy>
  <cp:revision>12</cp:revision>
  <cp:lastPrinted>2019-06-21T09:17:00Z</cp:lastPrinted>
  <dcterms:created xsi:type="dcterms:W3CDTF">2019-06-21T08:29:00Z</dcterms:created>
  <dcterms:modified xsi:type="dcterms:W3CDTF">2021-05-24T12:01:00Z</dcterms:modified>
</cp:coreProperties>
</file>