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E45A7C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491599" w:rsidRDefault="00952639" w:rsidP="00512C06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E45A7C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E45A7C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POZWOLENIE ZINTEGROWANE</w:t>
            </w:r>
          </w:p>
        </w:tc>
      </w:tr>
      <w:tr w:rsidR="00491599" w:rsidTr="00512C06">
        <w:tc>
          <w:tcPr>
            <w:tcW w:w="10908" w:type="dxa"/>
            <w:gridSpan w:val="4"/>
            <w:shd w:val="clear" w:color="auto" w:fill="FFFFFF"/>
          </w:tcPr>
          <w:p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:rsidR="00E45A7C" w:rsidRDefault="00E45A7C" w:rsidP="00E45A7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ustawy</w:t>
            </w:r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dnia 27 kwietnia 2001 r. Prawo ochrony środowiska (t.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>j. Dz. U. z 2018 r.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poz. 799 z </w:t>
            </w:r>
            <w:proofErr w:type="spellStart"/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  <w:p w:rsidR="00491599" w:rsidRPr="003112FC" w:rsidRDefault="00E45A7C" w:rsidP="00E45A7C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Art. 104 ustawy z dnia 14 czerwca 1960 r. Kodeks postępowania administracyjnego (t. j. Dz. U. z 2018 r., poz. 2096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</w:tc>
      </w:tr>
      <w:tr w:rsidR="00491599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E45A7C" w:rsidP="00512C06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Wydział Budownictwa i Ochrony Środowiska</w:t>
            </w:r>
          </w:p>
        </w:tc>
      </w:tr>
      <w:tr w:rsidR="00491599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E45A7C" w:rsidRPr="00770886" w:rsidRDefault="00E45A7C" w:rsidP="00E45A7C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886">
              <w:rPr>
                <w:rFonts w:ascii="Arial" w:hAnsi="Arial" w:cs="Arial"/>
                <w:sz w:val="20"/>
                <w:szCs w:val="20"/>
                <w:lang w:eastAsia="en-US"/>
              </w:rPr>
              <w:t>Wniosek o wydanie ze</w:t>
            </w:r>
            <w:r w:rsidRPr="007708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zwolenia, który </w:t>
            </w:r>
            <w:r w:rsidRPr="00770886">
              <w:rPr>
                <w:rFonts w:ascii="Arial" w:hAnsi="Arial" w:cs="Arial"/>
                <w:sz w:val="20"/>
                <w:szCs w:val="20"/>
              </w:rPr>
              <w:t>składa się w postaci papierowej w dwóch egzemplarzach</w:t>
            </w:r>
            <w:r w:rsidRPr="007708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5A7C" w:rsidRPr="00770886" w:rsidRDefault="000B42EA" w:rsidP="00E45A7C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886">
              <w:rPr>
                <w:rFonts w:ascii="Arial" w:hAnsi="Arial" w:cs="Arial"/>
                <w:sz w:val="20"/>
                <w:szCs w:val="20"/>
              </w:rPr>
              <w:t>D</w:t>
            </w:r>
            <w:r w:rsidR="00E45A7C" w:rsidRPr="00770886">
              <w:rPr>
                <w:rFonts w:ascii="Arial" w:hAnsi="Arial" w:cs="Arial"/>
                <w:sz w:val="20"/>
                <w:szCs w:val="20"/>
              </w:rPr>
              <w:t>owód u</w:t>
            </w:r>
            <w:r w:rsidRPr="00770886">
              <w:rPr>
                <w:rFonts w:ascii="Arial" w:hAnsi="Arial" w:cs="Arial"/>
                <w:sz w:val="20"/>
                <w:szCs w:val="20"/>
              </w:rPr>
              <w:t>iszczenia opłaty rejestracyjnej.</w:t>
            </w:r>
          </w:p>
          <w:p w:rsidR="00E45A7C" w:rsidRPr="00770886" w:rsidRDefault="000B42EA" w:rsidP="00E45A7C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886">
              <w:rPr>
                <w:rFonts w:ascii="Arial" w:hAnsi="Arial" w:cs="Arial"/>
                <w:sz w:val="20"/>
                <w:szCs w:val="20"/>
              </w:rPr>
              <w:t>Z</w:t>
            </w:r>
            <w:r w:rsidR="00E45A7C" w:rsidRPr="00770886">
              <w:rPr>
                <w:rFonts w:ascii="Arial" w:hAnsi="Arial" w:cs="Arial"/>
                <w:sz w:val="20"/>
                <w:szCs w:val="20"/>
              </w:rPr>
              <w:t>apis wniosku w postaci elektronicznej na i</w:t>
            </w:r>
            <w:r w:rsidR="00770886">
              <w:rPr>
                <w:rFonts w:ascii="Arial" w:hAnsi="Arial" w:cs="Arial"/>
                <w:sz w:val="20"/>
                <w:szCs w:val="20"/>
              </w:rPr>
              <w:t>nformatycznych nośnikach danych.</w:t>
            </w:r>
          </w:p>
          <w:p w:rsidR="00E45A7C" w:rsidRPr="00770886" w:rsidRDefault="000B42EA" w:rsidP="00E45A7C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886">
              <w:rPr>
                <w:rFonts w:ascii="Arial" w:hAnsi="Arial" w:cs="Arial"/>
                <w:sz w:val="20"/>
                <w:szCs w:val="20"/>
              </w:rPr>
              <w:t>Kopia</w:t>
            </w:r>
            <w:r w:rsidR="00E45A7C" w:rsidRPr="00770886">
              <w:rPr>
                <w:rFonts w:ascii="Arial" w:hAnsi="Arial" w:cs="Arial"/>
                <w:sz w:val="20"/>
                <w:szCs w:val="20"/>
              </w:rPr>
              <w:t xml:space="preserve"> programu zapobiegania awariom, o którym mowa w art. 251, lub kopię raportu o bezpieczeństwie, o którym mowa w art. 253, jeżeli były opracowane.</w:t>
            </w:r>
            <w:bookmarkStart w:id="0" w:name="_GoBack"/>
            <w:bookmarkEnd w:id="0"/>
          </w:p>
          <w:p w:rsidR="000B42EA" w:rsidRPr="00770886" w:rsidRDefault="000B42EA" w:rsidP="000B42EA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88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770886">
              <w:rPr>
                <w:rFonts w:ascii="Arial" w:hAnsi="Arial" w:cs="Arial"/>
                <w:sz w:val="20"/>
                <w:szCs w:val="20"/>
              </w:rPr>
              <w:t xml:space="preserve">przypadku o którym mowa w art. 135 ust. 6, jeżeli prowadzący instalację ubiega się o uzyskanie pozwolenia zintegrowanego pomimo niedotrzymywania dopuszczalnych poziomów hałasu poza terenem zakładu, wniosek </w:t>
            </w:r>
            <w:r w:rsidR="00770886">
              <w:rPr>
                <w:rFonts w:ascii="Arial" w:hAnsi="Arial" w:cs="Arial"/>
                <w:sz w:val="20"/>
                <w:szCs w:val="20"/>
              </w:rPr>
              <w:br/>
            </w:r>
            <w:r w:rsidRPr="00770886">
              <w:rPr>
                <w:rFonts w:ascii="Arial" w:hAnsi="Arial" w:cs="Arial"/>
                <w:sz w:val="20"/>
                <w:szCs w:val="20"/>
              </w:rPr>
              <w:t>o wydanie pozwolenia zintegrowanego zawiera dodatkowo informacje, że konieczne jest utworzenie obszaru ograniczonego użytkowania i określenie granic takiego obszaru, ograniczeń w zakresie przeznaczenia terenu, wymagań technicznych dotyczących budynków oraz sposobów korzystania z terenów; w tym przypadku nie jest wymagane sporządzenie przeglądu ekologicznego.</w:t>
            </w:r>
            <w:r w:rsidRPr="00770886">
              <w:rPr>
                <w:rFonts w:ascii="Arial" w:hAnsi="Arial" w:cs="Arial"/>
                <w:sz w:val="20"/>
                <w:szCs w:val="20"/>
              </w:rPr>
              <w:t xml:space="preserve"> W związku z tym należy dołączyć</w:t>
            </w:r>
            <w:r w:rsidRPr="007708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70886">
              <w:rPr>
                <w:rFonts w:ascii="Arial" w:hAnsi="Arial" w:cs="Arial"/>
                <w:sz w:val="20"/>
                <w:szCs w:val="20"/>
              </w:rPr>
              <w:t>poświadczoną przez właściwy organ kopię</w:t>
            </w:r>
            <w:r w:rsidR="00E45A7C" w:rsidRPr="00770886">
              <w:rPr>
                <w:rFonts w:ascii="Arial" w:hAnsi="Arial" w:cs="Arial"/>
                <w:sz w:val="20"/>
                <w:szCs w:val="20"/>
              </w:rPr>
              <w:t xml:space="preserve"> mapy ewidencyjnej z zaznaczonym przebiegiem granic obszaru, na którym jest konieczne utworzenie ob</w:t>
            </w:r>
            <w:r w:rsidR="00E45A7C" w:rsidRPr="00770886">
              <w:rPr>
                <w:rFonts w:ascii="Arial" w:hAnsi="Arial" w:cs="Arial"/>
                <w:sz w:val="20"/>
                <w:szCs w:val="20"/>
              </w:rPr>
              <w:t>sz</w:t>
            </w:r>
            <w:r w:rsidRPr="00770886">
              <w:rPr>
                <w:rFonts w:ascii="Arial" w:hAnsi="Arial" w:cs="Arial"/>
                <w:sz w:val="20"/>
                <w:szCs w:val="20"/>
              </w:rPr>
              <w:t>aru ograniczonego użytkowania.</w:t>
            </w:r>
          </w:p>
          <w:p w:rsidR="00E45A7C" w:rsidRPr="00770886" w:rsidRDefault="00E45A7C" w:rsidP="00E45A7C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886">
              <w:rPr>
                <w:rFonts w:ascii="Arial" w:hAnsi="Arial" w:cs="Arial"/>
                <w:sz w:val="20"/>
                <w:szCs w:val="20"/>
              </w:rPr>
              <w:t>Dokument potwierdzający, że wnioskodawca jest uprawniony do występowania  w obrocie prawnym, jeżeli prowadzący instalację nie jest osobą fizyczną.</w:t>
            </w:r>
          </w:p>
          <w:p w:rsidR="005B3DCC" w:rsidRDefault="00E45A7C" w:rsidP="005B3DCC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886">
              <w:rPr>
                <w:rFonts w:ascii="Arial" w:hAnsi="Arial" w:cs="Arial"/>
                <w:sz w:val="20"/>
                <w:szCs w:val="20"/>
              </w:rPr>
              <w:t>Dokument potwierdzający tytuł prawny do miejsca magazynowania odpadów.</w:t>
            </w:r>
          </w:p>
          <w:p w:rsidR="00EC5C06" w:rsidRPr="005B3DCC" w:rsidRDefault="00EC5C06" w:rsidP="005B3DCC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3DCC">
              <w:rPr>
                <w:rFonts w:ascii="Arial" w:hAnsi="Arial" w:cs="Arial"/>
                <w:sz w:val="20"/>
                <w:szCs w:val="20"/>
              </w:rPr>
              <w:t xml:space="preserve">Załączniki wymagane do wniosku o wydanie pozwolenia na wprowadzanie pyłów lub gazów do powietrza, pozwolenia na wytwarzanie odpadów, </w:t>
            </w:r>
            <w:r w:rsidRPr="005B3DCC">
              <w:rPr>
                <w:rFonts w:ascii="Arial" w:hAnsi="Arial" w:cs="Arial"/>
                <w:sz w:val="20"/>
                <w:szCs w:val="20"/>
              </w:rPr>
              <w:t xml:space="preserve">pozwolenia wodnoprawnego na wprowadzanie ścieków do wód lub do ziemi oraz, jeżeli wody powierzchniowe lub podziemne są pobierane wyłącznie na potrzeby instalacji - wniosku </w:t>
            </w:r>
            <w:r w:rsidRPr="005B3DCC">
              <w:rPr>
                <w:rFonts w:ascii="Arial" w:hAnsi="Arial" w:cs="Arial"/>
                <w:sz w:val="20"/>
                <w:szCs w:val="20"/>
              </w:rPr>
              <w:br/>
            </w:r>
            <w:r w:rsidRPr="005B3DCC">
              <w:rPr>
                <w:rFonts w:ascii="Arial" w:hAnsi="Arial" w:cs="Arial"/>
                <w:sz w:val="20"/>
                <w:szCs w:val="20"/>
              </w:rPr>
              <w:t>o wydanie pozwolenia wodnoprawnego na pobór wód.</w:t>
            </w:r>
            <w:r w:rsidRPr="005B3D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0886" w:rsidRPr="00770886" w:rsidRDefault="00770886" w:rsidP="00E45A7C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886">
              <w:rPr>
                <w:rFonts w:ascii="Arial" w:hAnsi="Arial" w:cs="Arial"/>
                <w:sz w:val="20"/>
                <w:szCs w:val="20"/>
              </w:rPr>
              <w:t>Potwierdzenie wniesienia opłaty skarbowej.</w:t>
            </w:r>
          </w:p>
          <w:p w:rsidR="00E45A7C" w:rsidRPr="00770886" w:rsidRDefault="00E45A7C" w:rsidP="00E45A7C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8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przypadku prowadzenia sprawy przez pełnomocnika, do wniosku należy dołączyć oryginał pełnomocnictwa </w:t>
            </w:r>
            <w:r w:rsidRPr="00770886">
              <w:rPr>
                <w:rFonts w:ascii="Arial" w:hAnsi="Arial" w:cs="Arial"/>
                <w:sz w:val="20"/>
                <w:szCs w:val="20"/>
                <w:lang w:eastAsia="en-US"/>
              </w:rPr>
              <w:br/>
              <w:t>lub urzędowo poświadczony odpis pełnomocnictwa, dokonać opłaty skarbowej w wysokości 17,00 zł i dołączyć dowód jej wniesienia do składanych dokumentów.</w:t>
            </w:r>
          </w:p>
          <w:p w:rsidR="00E45A7C" w:rsidRPr="00770886" w:rsidRDefault="00E45A7C" w:rsidP="00E45A7C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491599" w:rsidRPr="00770886" w:rsidRDefault="00E45A7C" w:rsidP="00E45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88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 przypadku braku kompletu wymaganych dokumentów wnioskodawca zostanie wezwany do ich uzupełnienia. Nieuzupełnienie wniosku w terminie 7 dni od dnia doręczenia wezwania spowoduje pozostawienie wniosku </w:t>
            </w:r>
            <w:r w:rsidRPr="00770886"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>bez rozpoznania.</w:t>
            </w:r>
          </w:p>
          <w:p w:rsidR="00491599" w:rsidRPr="003112FC" w:rsidRDefault="00491599" w:rsidP="00512C06">
            <w:pPr>
              <w:jc w:val="both"/>
              <w:rPr>
                <w:sz w:val="16"/>
                <w:szCs w:val="16"/>
              </w:rPr>
            </w:pPr>
          </w:p>
        </w:tc>
      </w:tr>
      <w:tr w:rsidR="00491599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E45A7C" w:rsidP="00512C06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Rozstrzygnięcie sprawy następuje w form</w:t>
            </w:r>
            <w:r>
              <w:rPr>
                <w:rFonts w:ascii="Arial" w:hAnsi="Arial" w:cs="Arial"/>
                <w:sz w:val="20"/>
                <w:szCs w:val="20"/>
              </w:rPr>
              <w:t>ie decyzji administracyjnej - ze</w:t>
            </w:r>
            <w:r w:rsidRPr="00B93D0E">
              <w:rPr>
                <w:rFonts w:ascii="Arial" w:hAnsi="Arial" w:cs="Arial"/>
                <w:sz w:val="20"/>
                <w:szCs w:val="20"/>
              </w:rPr>
              <w:t>zwolenia przesyłanego do wnioskodawcy listem poleconym za zwrotnym potwierdzeniem odbioru. Możliwy jest także osobisty odbiór decyzji lub przez ustanowionego pełnomocnika w terminie uzgodnionym z pracownikiem odpowiedzialnym za załatwienie sprawy.</w:t>
            </w:r>
          </w:p>
        </w:tc>
      </w:tr>
      <w:tr w:rsidR="00491599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:rsidR="00E45A7C" w:rsidRPr="00770886" w:rsidRDefault="000B42EA" w:rsidP="007708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886">
              <w:rPr>
                <w:rFonts w:ascii="Arial" w:hAnsi="Arial" w:cs="Arial"/>
                <w:sz w:val="20"/>
                <w:szCs w:val="20"/>
              </w:rPr>
              <w:t>Opł</w:t>
            </w:r>
            <w:r w:rsidR="00770886" w:rsidRPr="00770886">
              <w:rPr>
                <w:rFonts w:ascii="Arial" w:hAnsi="Arial" w:cs="Arial"/>
                <w:sz w:val="20"/>
                <w:szCs w:val="20"/>
              </w:rPr>
              <w:t>ata rejestracyjna obliczona zgo</w:t>
            </w:r>
            <w:r w:rsidRPr="00770886">
              <w:rPr>
                <w:rFonts w:ascii="Arial" w:hAnsi="Arial" w:cs="Arial"/>
                <w:sz w:val="20"/>
                <w:szCs w:val="20"/>
              </w:rPr>
              <w:t xml:space="preserve">dnie z </w:t>
            </w:r>
            <w:r w:rsidR="00770886" w:rsidRPr="00770886">
              <w:rPr>
                <w:rFonts w:ascii="Arial" w:hAnsi="Arial" w:cs="Arial"/>
                <w:sz w:val="20"/>
                <w:szCs w:val="20"/>
              </w:rPr>
              <w:t xml:space="preserve">Rozporządzeniem Ministra Środowiska z dnia 27 sierpnia 2014 r. </w:t>
            </w:r>
            <w:r w:rsidR="00770886">
              <w:rPr>
                <w:rFonts w:ascii="Arial" w:hAnsi="Arial" w:cs="Arial"/>
                <w:sz w:val="20"/>
                <w:szCs w:val="20"/>
              </w:rPr>
              <w:br/>
            </w:r>
            <w:r w:rsidR="00770886" w:rsidRPr="00770886">
              <w:rPr>
                <w:rFonts w:ascii="Arial" w:hAnsi="Arial" w:cs="Arial"/>
                <w:sz w:val="20"/>
                <w:szCs w:val="20"/>
              </w:rPr>
              <w:t xml:space="preserve">w sprawie wysokości opłat rejestracyjnych (Dz. U. poz. 1183), jednak </w:t>
            </w:r>
            <w:r w:rsidR="00E45A7C" w:rsidRPr="00770886">
              <w:rPr>
                <w:rFonts w:ascii="Arial" w:hAnsi="Arial" w:cs="Arial"/>
                <w:sz w:val="20"/>
                <w:szCs w:val="20"/>
              </w:rPr>
              <w:t>nie może być wyższa niż 12 000 zł.</w:t>
            </w:r>
            <w:r w:rsidR="00770886" w:rsidRPr="00770886">
              <w:rPr>
                <w:rFonts w:ascii="Arial" w:hAnsi="Arial" w:cs="Arial"/>
                <w:sz w:val="20"/>
                <w:szCs w:val="20"/>
              </w:rPr>
              <w:t xml:space="preserve"> Należna opłatę wnosi się na rachunek bankowy Narodowego Funduszu Ochrony Środowiska i Gospodarki Wodnej </w:t>
            </w:r>
            <w:r w:rsidR="00770886">
              <w:rPr>
                <w:rFonts w:ascii="Arial" w:hAnsi="Arial" w:cs="Arial"/>
                <w:sz w:val="20"/>
                <w:szCs w:val="20"/>
              </w:rPr>
              <w:br/>
            </w:r>
            <w:r w:rsidR="00770886" w:rsidRPr="00770886">
              <w:rPr>
                <w:rFonts w:ascii="Arial" w:hAnsi="Arial" w:cs="Arial"/>
                <w:sz w:val="20"/>
                <w:szCs w:val="20"/>
              </w:rPr>
              <w:t xml:space="preserve">z siedzibą w Warszawie. </w:t>
            </w:r>
          </w:p>
          <w:p w:rsidR="00770886" w:rsidRPr="00770886" w:rsidRDefault="00770886" w:rsidP="00770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5A7C" w:rsidRPr="00770886" w:rsidRDefault="00E45A7C" w:rsidP="00770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A7C">
              <w:rPr>
                <w:rFonts w:ascii="Arial" w:hAnsi="Arial" w:cs="Arial"/>
                <w:sz w:val="20"/>
                <w:szCs w:val="20"/>
              </w:rPr>
              <w:t>Opłatę rejestracyjną wnosi się również w przypadku zmiany pozwolenia zintegrowanego w związku z dokonaniem istotnych zmian w instalacji objętej tym pozwoleniem. Opłata ta wynosi 50% opłaty rejestracyjnej, która byłaby wymagana w przypadku wniosku o wydanie pozwolenia zintegrowanego dla tej instalacji.</w:t>
            </w:r>
          </w:p>
          <w:p w:rsidR="00770886" w:rsidRDefault="00770886" w:rsidP="00E45A7C"/>
          <w:p w:rsidR="00770886" w:rsidRPr="00770886" w:rsidRDefault="00770886" w:rsidP="00770886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8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Opłatę skarbową należy wnieść na konto Urzędu Miasta w Nowej Soli nr: PKO BP S.A.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7708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62 1020 5402 0000 0302 0365 3466 </w:t>
            </w:r>
            <w:r w:rsidRPr="00770886">
              <w:rPr>
                <w:rFonts w:ascii="Arial" w:hAnsi="Arial" w:cs="Arial"/>
                <w:sz w:val="20"/>
                <w:szCs w:val="20"/>
                <w:lang w:eastAsia="en-US"/>
              </w:rPr>
              <w:t>w punkcie kasowym Starostwa Powiatowego w Nowej Soli przy ul. Moniuszki 3 lub za pośrednictwem przelewu.</w:t>
            </w:r>
          </w:p>
          <w:p w:rsidR="00770886" w:rsidRPr="003955D5" w:rsidRDefault="00770886" w:rsidP="0077088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0886" w:rsidRPr="00770886" w:rsidRDefault="00770886" w:rsidP="00770886">
            <w:pPr>
              <w:spacing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 w:rsidRPr="00770886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Opłaty:</w:t>
            </w:r>
          </w:p>
          <w:p w:rsidR="00770886" w:rsidRPr="003564EA" w:rsidRDefault="00770886" w:rsidP="00770886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 związku z prowadzoną działalnością gospodarczą – </w:t>
            </w:r>
            <w:r w:rsidRPr="003564EA">
              <w:rPr>
                <w:rFonts w:ascii="Arial" w:hAnsi="Arial" w:cs="Arial"/>
                <w:b/>
                <w:iCs/>
                <w:sz w:val="20"/>
                <w:szCs w:val="20"/>
              </w:rPr>
              <w:t>2011,00 zł,</w:t>
            </w:r>
          </w:p>
          <w:p w:rsidR="00770886" w:rsidRPr="003564EA" w:rsidRDefault="00770886" w:rsidP="00770886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 związku z działalnością gospodarcz</w:t>
            </w:r>
            <w:r>
              <w:rPr>
                <w:rFonts w:ascii="Arial" w:hAnsi="Arial" w:cs="Arial"/>
                <w:iCs/>
                <w:sz w:val="20"/>
                <w:szCs w:val="20"/>
              </w:rPr>
              <w:t>ą prowadzoną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 przez podmioty prowadzące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działalność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 wytwórczą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w rolnictwie,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mikro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>przedsiębiorców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oraz małych i średnich przedsiębiorców – </w:t>
            </w:r>
            <w:r w:rsidRPr="003564EA">
              <w:rPr>
                <w:rFonts w:ascii="Arial" w:hAnsi="Arial" w:cs="Arial"/>
                <w:b/>
                <w:iCs/>
                <w:sz w:val="20"/>
                <w:szCs w:val="20"/>
              </w:rPr>
              <w:t>506,00 zł.</w:t>
            </w:r>
          </w:p>
          <w:p w:rsidR="00770886" w:rsidRDefault="00770886" w:rsidP="00770886">
            <w:pPr>
              <w:pStyle w:val="Akapitzlist"/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45A7C" w:rsidRPr="00770886" w:rsidRDefault="00770886" w:rsidP="00770886">
            <w:p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 zmianę ze</w:t>
            </w:r>
            <w:r w:rsidRPr="00D65432">
              <w:rPr>
                <w:rFonts w:ascii="Arial" w:hAnsi="Arial" w:cs="Arial"/>
                <w:i/>
                <w:iCs/>
                <w:sz w:val="20"/>
                <w:szCs w:val="20"/>
              </w:rPr>
              <w:t>zwolenia opłata wynosi 50% stawki podstawowej.</w:t>
            </w:r>
          </w:p>
        </w:tc>
      </w:tr>
      <w:tr w:rsidR="00491599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</w:p>
        </w:tc>
      </w:tr>
      <w:tr w:rsidR="00491599" w:rsidRPr="00C744AA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C744AA" w:rsidRDefault="00E45A7C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E10CD">
              <w:rPr>
                <w:b w:val="0"/>
                <w:i w:val="0"/>
              </w:rPr>
              <w:t xml:space="preserve">Niezbędne dokumenty należy złożyć osobiście lub przez ustanowionego pełnomocnika bądź przesłać na adres pocztowy: </w:t>
            </w:r>
            <w:r w:rsidRPr="006E10CD">
              <w:rPr>
                <w:b w:val="0"/>
                <w:bCs w:val="0"/>
                <w:i w:val="0"/>
              </w:rPr>
              <w:t>Starostwo Powiatowe w Nowej Soli ul. Moniuszki 3, 67-100 Nowa Sól.</w:t>
            </w:r>
          </w:p>
        </w:tc>
      </w:tr>
      <w:tr w:rsidR="00491599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Biuro Obsługi Interesantów </w:t>
            </w:r>
            <w:r w:rsidR="00770886">
              <w:rPr>
                <w:rFonts w:ascii="Arial" w:hAnsi="Arial" w:cs="Arial"/>
                <w:sz w:val="20"/>
              </w:rPr>
              <w:t>w Starostwie Powiatowym przy ul.</w:t>
            </w:r>
            <w:r>
              <w:rPr>
                <w:rFonts w:ascii="Arial" w:hAnsi="Arial" w:cs="Arial"/>
                <w:sz w:val="20"/>
              </w:rPr>
              <w:t xml:space="preserve"> Moniuszki 3 w Nowej Soli.</w:t>
            </w:r>
          </w:p>
        </w:tc>
      </w:tr>
      <w:tr w:rsidR="00491599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:rsidTr="00512C0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4400A4" w:rsidRDefault="000B42EA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pozwolenie ma objąć instalację po raz pierwszy lub ma objąć instalację po istotnej zmianie, wydanie pozwolenia zintegrowanego powinno nastąpić w ciągu 6 miesięcy od dnia złożenia wniosku.</w:t>
            </w:r>
          </w:p>
        </w:tc>
      </w:tr>
      <w:tr w:rsidR="00491599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:rsidR="00491599" w:rsidRPr="004400A4" w:rsidRDefault="00E45A7C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Odwołanie wnosi się do Samorządowego Kolegium Odwoławczego w Zielonej Górze za pośrednictwem Starosty Nowosolskiego w ciągu 14 dni od dnia doręczenia decyzji.</w:t>
            </w:r>
          </w:p>
        </w:tc>
      </w:tr>
      <w:tr w:rsidR="00491599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:rsidR="00E45A7C" w:rsidRPr="00C54DF6" w:rsidRDefault="00E45A7C" w:rsidP="00E45A7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Wniosek o wydanie </w:t>
            </w:r>
            <w:r>
              <w:rPr>
                <w:rFonts w:ascii="Arial" w:hAnsi="Arial" w:cs="Arial"/>
                <w:sz w:val="20"/>
                <w:szCs w:val="20"/>
              </w:rPr>
              <w:t>pozwolenia</w:t>
            </w:r>
            <w:r w:rsidRPr="00C54DF6">
              <w:rPr>
                <w:rFonts w:ascii="Arial" w:hAnsi="Arial" w:cs="Arial"/>
                <w:sz w:val="20"/>
                <w:szCs w:val="20"/>
              </w:rPr>
              <w:t xml:space="preserve"> można pobrać w:</w:t>
            </w:r>
          </w:p>
          <w:p w:rsidR="00E45A7C" w:rsidRPr="00C54DF6" w:rsidRDefault="00E45A7C" w:rsidP="00E45A7C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Biurze Obsługi Interesantów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5A7C" w:rsidRDefault="00E45A7C" w:rsidP="00E45A7C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Wydziale Budownictwa i Ochrony Środowiska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 -  pok. nr 209 (II piętro) przy ul. Moniuszki 3B</w:t>
            </w:r>
          </w:p>
          <w:p w:rsidR="00E45A7C" w:rsidRPr="003B2512" w:rsidRDefault="00E45A7C" w:rsidP="00E45A7C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- BIP na stronie: </w:t>
            </w:r>
            <w:hyperlink r:id="rId12" w:history="1">
              <w:r w:rsidRPr="00C54DF6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http://bip.powiat-nowosolski.pl</w:t>
              </w:r>
            </w:hyperlink>
          </w:p>
          <w:p w:rsidR="00491599" w:rsidRPr="004400A4" w:rsidRDefault="00491599" w:rsidP="00512C06">
            <w:pPr>
              <w:ind w:firstLine="936"/>
              <w:jc w:val="both"/>
              <w:rPr>
                <w:sz w:val="22"/>
                <w:szCs w:val="22"/>
              </w:rPr>
            </w:pPr>
          </w:p>
        </w:tc>
      </w:tr>
    </w:tbl>
    <w:p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p w:rsidR="00E853C6" w:rsidRDefault="00E853C6"/>
    <w:sectPr w:rsidR="00E853C6" w:rsidSect="004400A4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39" w:rsidRDefault="00952639" w:rsidP="00491599">
      <w:r>
        <w:separator/>
      </w:r>
    </w:p>
  </w:endnote>
  <w:endnote w:type="continuationSeparator" w:id="0">
    <w:p w:rsidR="00952639" w:rsidRDefault="00952639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9526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952639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637FD2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E45A7C" w:rsidRPr="00E45A7C">
            <w:rPr>
              <w:rFonts w:ascii="Arial" w:hAnsi="Arial" w:cs="Arial"/>
              <w:b/>
              <w:sz w:val="20"/>
              <w:szCs w:val="20"/>
            </w:rPr>
            <w:t>Pozwolenie zintegrowane</w:t>
          </w:r>
        </w:p>
      </w:tc>
      <w:tc>
        <w:tcPr>
          <w:tcW w:w="1080" w:type="dxa"/>
          <w:vAlign w:val="center"/>
        </w:tcPr>
        <w:p w:rsidR="00F17320" w:rsidRDefault="00952639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  <w:r w:rsidR="00E45A7C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F17320" w:rsidRDefault="009526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39" w:rsidRDefault="00952639" w:rsidP="00491599">
      <w:r>
        <w:separator/>
      </w:r>
    </w:p>
  </w:footnote>
  <w:footnote w:type="continuationSeparator" w:id="0">
    <w:p w:rsidR="00952639" w:rsidRDefault="00952639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4C7"/>
    <w:multiLevelType w:val="hybridMultilevel"/>
    <w:tmpl w:val="695C7B3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E9201F6"/>
    <w:multiLevelType w:val="hybridMultilevel"/>
    <w:tmpl w:val="62D03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67E4"/>
    <w:multiLevelType w:val="hybridMultilevel"/>
    <w:tmpl w:val="4138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E42B0"/>
    <w:multiLevelType w:val="hybridMultilevel"/>
    <w:tmpl w:val="3AE6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9"/>
    <w:rsid w:val="000B42EA"/>
    <w:rsid w:val="000C41FF"/>
    <w:rsid w:val="00491599"/>
    <w:rsid w:val="005B3DCC"/>
    <w:rsid w:val="00637FD2"/>
    <w:rsid w:val="00770886"/>
    <w:rsid w:val="008B6CB2"/>
    <w:rsid w:val="00952639"/>
    <w:rsid w:val="00A90EA0"/>
    <w:rsid w:val="00AD1ECB"/>
    <w:rsid w:val="00D21B94"/>
    <w:rsid w:val="00D71D15"/>
    <w:rsid w:val="00E45A7C"/>
    <w:rsid w:val="00E853C6"/>
    <w:rsid w:val="00EC5C06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A7C"/>
    <w:pPr>
      <w:ind w:left="720"/>
      <w:contextualSpacing/>
    </w:pPr>
  </w:style>
  <w:style w:type="character" w:customStyle="1" w:styleId="alb">
    <w:name w:val="a_lb"/>
    <w:basedOn w:val="Domylnaczcionkaakapitu"/>
    <w:rsid w:val="00E4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Marzena Gruchacz - Grzybek</cp:lastModifiedBy>
  <cp:revision>5</cp:revision>
  <dcterms:created xsi:type="dcterms:W3CDTF">2019-03-15T09:49:00Z</dcterms:created>
  <dcterms:modified xsi:type="dcterms:W3CDTF">2019-03-15T10:08:00Z</dcterms:modified>
</cp:coreProperties>
</file>